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701" w:rsidRPr="003F6043" w:rsidRDefault="00651701" w:rsidP="00651701">
      <w:pPr>
        <w:spacing w:line="480" w:lineRule="auto"/>
        <w:jc w:val="center"/>
        <w:rPr>
          <w:rFonts w:ascii="Times New Roman" w:hAnsi="Times New Roman" w:cs="Times New Roman"/>
          <w:sz w:val="24"/>
          <w:szCs w:val="24"/>
        </w:rPr>
      </w:pPr>
      <w:bookmarkStart w:id="0" w:name="_GoBack"/>
      <w:bookmarkEnd w:id="0"/>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FD039E" w:rsidRPr="003F6043" w:rsidRDefault="00921B2E" w:rsidP="00651701">
      <w:pPr>
        <w:spacing w:line="480" w:lineRule="auto"/>
        <w:jc w:val="center"/>
        <w:rPr>
          <w:rFonts w:ascii="Times New Roman" w:hAnsi="Times New Roman" w:cs="Times New Roman"/>
          <w:b/>
          <w:sz w:val="24"/>
          <w:szCs w:val="24"/>
        </w:rPr>
      </w:pPr>
      <w:r w:rsidRPr="003F6043">
        <w:rPr>
          <w:rFonts w:ascii="Times New Roman" w:hAnsi="Times New Roman" w:cs="Times New Roman"/>
          <w:b/>
          <w:sz w:val="24"/>
          <w:szCs w:val="24"/>
        </w:rPr>
        <w:t>Question 2 Effectiveness of unconditional cash transfer</w:t>
      </w:r>
    </w:p>
    <w:p w:rsidR="00651701" w:rsidRPr="003F6043" w:rsidRDefault="00651701" w:rsidP="00651701">
      <w:pPr>
        <w:spacing w:line="480" w:lineRule="auto"/>
        <w:jc w:val="center"/>
        <w:rPr>
          <w:rFonts w:ascii="Times New Roman" w:hAnsi="Times New Roman" w:cs="Times New Roman"/>
          <w:sz w:val="24"/>
          <w:szCs w:val="24"/>
        </w:rPr>
      </w:pPr>
      <w:r w:rsidRPr="003F6043">
        <w:rPr>
          <w:rFonts w:ascii="Times New Roman" w:hAnsi="Times New Roman" w:cs="Times New Roman"/>
          <w:sz w:val="24"/>
          <w:szCs w:val="24"/>
        </w:rPr>
        <w:t>Name</w:t>
      </w:r>
    </w:p>
    <w:p w:rsidR="00651701" w:rsidRPr="003F6043" w:rsidRDefault="00651701" w:rsidP="00651701">
      <w:pPr>
        <w:spacing w:line="480" w:lineRule="auto"/>
        <w:jc w:val="center"/>
        <w:rPr>
          <w:rFonts w:ascii="Times New Roman" w:hAnsi="Times New Roman" w:cs="Times New Roman"/>
          <w:sz w:val="24"/>
          <w:szCs w:val="24"/>
        </w:rPr>
      </w:pPr>
      <w:r w:rsidRPr="003F6043">
        <w:rPr>
          <w:rFonts w:ascii="Times New Roman" w:hAnsi="Times New Roman" w:cs="Times New Roman"/>
          <w:sz w:val="24"/>
          <w:szCs w:val="24"/>
        </w:rPr>
        <w:t>Institution</w:t>
      </w:r>
    </w:p>
    <w:p w:rsidR="00651701" w:rsidRPr="003F6043" w:rsidRDefault="00651701" w:rsidP="00651701">
      <w:pPr>
        <w:spacing w:line="480" w:lineRule="auto"/>
        <w:jc w:val="center"/>
        <w:rPr>
          <w:rFonts w:ascii="Times New Roman" w:hAnsi="Times New Roman" w:cs="Times New Roman"/>
          <w:sz w:val="24"/>
          <w:szCs w:val="24"/>
        </w:rPr>
      </w:pPr>
      <w:r w:rsidRPr="003F6043">
        <w:rPr>
          <w:rFonts w:ascii="Times New Roman" w:hAnsi="Times New Roman" w:cs="Times New Roman"/>
          <w:sz w:val="24"/>
          <w:szCs w:val="24"/>
        </w:rPr>
        <w:t xml:space="preserve">Date </w:t>
      </w: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sz w:val="24"/>
          <w:szCs w:val="24"/>
        </w:rPr>
      </w:pPr>
    </w:p>
    <w:p w:rsidR="00651701" w:rsidRPr="003F6043" w:rsidRDefault="00651701" w:rsidP="00651701">
      <w:pPr>
        <w:spacing w:line="480" w:lineRule="auto"/>
        <w:jc w:val="center"/>
        <w:rPr>
          <w:rFonts w:ascii="Times New Roman" w:hAnsi="Times New Roman" w:cs="Times New Roman"/>
          <w:b/>
          <w:sz w:val="24"/>
          <w:szCs w:val="24"/>
        </w:rPr>
      </w:pPr>
      <w:r w:rsidRPr="003F6043">
        <w:rPr>
          <w:rFonts w:ascii="Times New Roman" w:hAnsi="Times New Roman" w:cs="Times New Roman"/>
          <w:b/>
          <w:sz w:val="24"/>
          <w:szCs w:val="24"/>
        </w:rPr>
        <w:lastRenderedPageBreak/>
        <w:t>Question 2</w:t>
      </w:r>
      <w:r w:rsidRPr="003F6043">
        <w:rPr>
          <w:rFonts w:ascii="Times New Roman" w:hAnsi="Times New Roman" w:cs="Times New Roman"/>
          <w:b/>
          <w:sz w:val="24"/>
          <w:szCs w:val="24"/>
        </w:rPr>
        <w:t>:</w:t>
      </w:r>
      <w:r w:rsidRPr="003F6043">
        <w:rPr>
          <w:rFonts w:ascii="Times New Roman" w:hAnsi="Times New Roman" w:cs="Times New Roman"/>
          <w:b/>
          <w:sz w:val="24"/>
          <w:szCs w:val="24"/>
        </w:rPr>
        <w:t xml:space="preserve"> Effectiveness of unconditional cash transfer</w:t>
      </w:r>
    </w:p>
    <w:p w:rsidR="00633A8D" w:rsidRPr="003F6043" w:rsidRDefault="00633A8D" w:rsidP="00651701">
      <w:pPr>
        <w:pStyle w:val="NormalWeb"/>
        <w:spacing w:before="0" w:beforeAutospacing="0" w:after="0" w:afterAutospacing="0" w:line="480" w:lineRule="auto"/>
        <w:ind w:firstLine="720"/>
        <w:rPr>
          <w:color w:val="0E101A"/>
        </w:rPr>
      </w:pPr>
      <w:r w:rsidRPr="003F6043">
        <w:rPr>
          <w:color w:val="0E101A"/>
        </w:rPr>
        <w:t>Research literature shows that, on average, the majority of families need reliable income support. Due to the alarming impacts of the covid-19 crisis, about 23% of the UK population was living in poverty towards the end of 2020</w:t>
      </w:r>
      <w:r w:rsidR="0005262F">
        <w:rPr>
          <w:color w:val="0E101A"/>
        </w:rPr>
        <w:t xml:space="preserve"> (</w:t>
      </w:r>
      <w:proofErr w:type="spellStart"/>
      <w:r w:rsidR="0005262F" w:rsidRPr="003F6043">
        <w:rPr>
          <w:color w:val="222222"/>
          <w:shd w:val="clear" w:color="auto" w:fill="FFFFFF"/>
        </w:rPr>
        <w:t>Lebihan</w:t>
      </w:r>
      <w:proofErr w:type="spellEnd"/>
      <w:r w:rsidR="0005262F" w:rsidRPr="003F6043">
        <w:rPr>
          <w:color w:val="222222"/>
          <w:shd w:val="clear" w:color="auto" w:fill="FFFFFF"/>
        </w:rPr>
        <w:t xml:space="preserve"> &amp; </w:t>
      </w:r>
      <w:proofErr w:type="spellStart"/>
      <w:r w:rsidR="0005262F" w:rsidRPr="003F6043">
        <w:rPr>
          <w:color w:val="222222"/>
          <w:shd w:val="clear" w:color="auto" w:fill="FFFFFF"/>
        </w:rPr>
        <w:t>Takongmo</w:t>
      </w:r>
      <w:proofErr w:type="spellEnd"/>
      <w:r w:rsidR="0005262F" w:rsidRPr="003F6043">
        <w:rPr>
          <w:color w:val="222222"/>
          <w:shd w:val="clear" w:color="auto" w:fill="FFFFFF"/>
        </w:rPr>
        <w:t>, 2019)</w:t>
      </w:r>
      <w:r w:rsidRPr="003F6043">
        <w:rPr>
          <w:color w:val="0E101A"/>
        </w:rPr>
        <w:t xml:space="preserve">. As such, many struggled to afford their basic needs. The impacts of covid-19 on the economy illustrate a real relationship amid income and demand of goods and services based on the assumption of constant prices and preferences. This paper </w:t>
      </w:r>
      <w:r w:rsidR="0005262F">
        <w:rPr>
          <w:color w:val="0E101A"/>
        </w:rPr>
        <w:t>argues</w:t>
      </w:r>
      <w:r w:rsidRPr="003F6043">
        <w:rPr>
          <w:color w:val="0E101A"/>
        </w:rPr>
        <w:t xml:space="preserve"> that unconditional cash transfer </w:t>
      </w:r>
      <w:r w:rsidR="0005262F">
        <w:rPr>
          <w:color w:val="0E101A"/>
        </w:rPr>
        <w:t xml:space="preserve">is </w:t>
      </w:r>
      <w:r w:rsidRPr="003F6043">
        <w:rPr>
          <w:color w:val="0E101A"/>
        </w:rPr>
        <w:t>effective in raising the welfare of a target group of consumers</w:t>
      </w:r>
      <w:r w:rsidR="00703399" w:rsidRPr="003F6043">
        <w:rPr>
          <w:color w:val="0E101A"/>
        </w:rPr>
        <w:t xml:space="preserve"> </w:t>
      </w:r>
      <w:r w:rsidR="00703399" w:rsidRPr="003F6043">
        <w:rPr>
          <w:color w:val="0E101A"/>
        </w:rPr>
        <w:t>than any in-kind transfer</w:t>
      </w:r>
      <w:r w:rsidRPr="003F6043">
        <w:rPr>
          <w:color w:val="0E101A"/>
        </w:rPr>
        <w:t>.</w:t>
      </w:r>
    </w:p>
    <w:p w:rsidR="00633A8D" w:rsidRPr="003F6043" w:rsidRDefault="00633A8D" w:rsidP="00651701">
      <w:pPr>
        <w:pStyle w:val="NormalWeb"/>
        <w:spacing w:before="0" w:beforeAutospacing="0" w:after="0" w:afterAutospacing="0" w:line="480" w:lineRule="auto"/>
        <w:ind w:firstLine="720"/>
        <w:rPr>
          <w:color w:val="0E101A"/>
        </w:rPr>
      </w:pPr>
      <w:r w:rsidRPr="003F6043">
        <w:rPr>
          <w:color w:val="0E101A"/>
        </w:rPr>
        <w:t>An in-kind transfer is an alternative approach to distributing proceeds in the venture of capital and private equity fields. The target group of consumers through welfare activities entails those goods and services to the households by both government and non-profit organizations. However, the affiliated goods and services tend to have time limits to consume them. These goods and services are categorized as part of scarce resources that can be purchased in the market or manufactured by non-profit organizations</w:t>
      </w:r>
      <w:r w:rsidR="003F6043" w:rsidRPr="003F6043">
        <w:rPr>
          <w:color w:val="0E101A"/>
        </w:rPr>
        <w:t xml:space="preserve"> (</w:t>
      </w:r>
      <w:r w:rsidR="003F6043" w:rsidRPr="003F6043">
        <w:rPr>
          <w:color w:val="222222"/>
          <w:shd w:val="clear" w:color="auto" w:fill="FFFFFF"/>
        </w:rPr>
        <w:t>Churchill</w:t>
      </w:r>
      <w:r w:rsidR="003F6043" w:rsidRPr="003F6043">
        <w:rPr>
          <w:color w:val="222222"/>
          <w:shd w:val="clear" w:color="auto" w:fill="FFFFFF"/>
        </w:rPr>
        <w:t xml:space="preserve"> et al., 2021)</w:t>
      </w:r>
      <w:r w:rsidRPr="003F6043">
        <w:rPr>
          <w:color w:val="0E101A"/>
        </w:rPr>
        <w:t>. The major social welfare program activities may include benefits to retired, dependent survivors and primary healthcare centers, among other activities. Utilizing welfare, the in-kind transfer tends to cover some of the activities mentioned above under the basic social programs of the government and the non-profit organizations. However, for a targeted group of consumers, it is evident that the ultimate need for these programs occurs when there is an observable shortage of money in the household. Since money is a core medium of exchange, when the household has enough money, they can utilize it in whichever way they want and at their appropriate time. However, the target groups of consumers are mandated to choose amid the products and services provided by authorized dealers.</w:t>
      </w:r>
    </w:p>
    <w:p w:rsidR="00633A8D" w:rsidRPr="003F6043" w:rsidRDefault="00633A8D" w:rsidP="00651701">
      <w:pPr>
        <w:pStyle w:val="NormalWeb"/>
        <w:spacing w:before="0" w:beforeAutospacing="0" w:after="0" w:afterAutospacing="0" w:line="480" w:lineRule="auto"/>
        <w:ind w:firstLine="720"/>
        <w:rPr>
          <w:color w:val="0E101A"/>
        </w:rPr>
      </w:pPr>
      <w:r w:rsidRPr="003F6043">
        <w:rPr>
          <w:color w:val="0E101A"/>
        </w:rPr>
        <w:lastRenderedPageBreak/>
        <w:t xml:space="preserve">For that reason, the most accurate alternative approach to </w:t>
      </w:r>
      <w:r w:rsidR="00703399" w:rsidRPr="003F6043">
        <w:rPr>
          <w:color w:val="0E101A"/>
        </w:rPr>
        <w:t>improving</w:t>
      </w:r>
      <w:r w:rsidRPr="003F6043">
        <w:rPr>
          <w:color w:val="0E101A"/>
        </w:rPr>
        <w:t xml:space="preserve"> the </w:t>
      </w:r>
      <w:r w:rsidR="00703399" w:rsidRPr="003F6043">
        <w:rPr>
          <w:color w:val="0E101A"/>
        </w:rPr>
        <w:t>wellbeing</w:t>
      </w:r>
      <w:r w:rsidRPr="003F6043">
        <w:rPr>
          <w:color w:val="0E101A"/>
        </w:rPr>
        <w:t xml:space="preserve"> of a target group of consumers is to serve them with an unconditional cash transfer program, where money is used as a medium of exchange. Giving the households unconditional cash grants them more freedom to choose the most appropriate market as per their needs and preferences. And suppose these consumers are provided the unconditional money. In that case, that means they will be free to purchase any good of any quality and any services from whatever location they can access these benefits. So providing the unconditional cash transfer is the best alternative method for raising the welfare of a target group of consumers. Different studies have proven that providing unconditional cash transfers to low-income households can arguably create adequate</w:t>
      </w:r>
      <w:r w:rsidRPr="003F6043">
        <w:rPr>
          <w:rStyle w:val="Strong"/>
          <w:color w:val="0E101A"/>
        </w:rPr>
        <w:t> </w:t>
      </w:r>
      <w:r w:rsidRPr="003F6043">
        <w:rPr>
          <w:color w:val="0E101A"/>
        </w:rPr>
        <w:t>benefits for the household recipients</w:t>
      </w:r>
      <w:r w:rsidR="003F6043" w:rsidRPr="003F6043">
        <w:rPr>
          <w:color w:val="0E101A"/>
        </w:rPr>
        <w:t xml:space="preserve"> (</w:t>
      </w:r>
      <w:r w:rsidR="003F6043" w:rsidRPr="003F6043">
        <w:rPr>
          <w:color w:val="222222"/>
          <w:shd w:val="clear" w:color="auto" w:fill="FFFFFF"/>
        </w:rPr>
        <w:t xml:space="preserve">Afzal, </w:t>
      </w:r>
      <w:proofErr w:type="spellStart"/>
      <w:r w:rsidR="003F6043" w:rsidRPr="003F6043">
        <w:rPr>
          <w:color w:val="222222"/>
          <w:shd w:val="clear" w:color="auto" w:fill="FFFFFF"/>
        </w:rPr>
        <w:t>Nawazish</w:t>
      </w:r>
      <w:proofErr w:type="spellEnd"/>
      <w:r w:rsidR="003F6043" w:rsidRPr="003F6043">
        <w:rPr>
          <w:color w:val="222222"/>
          <w:shd w:val="clear" w:color="auto" w:fill="FFFFFF"/>
        </w:rPr>
        <w:t xml:space="preserve">, &amp; Arshad, </w:t>
      </w:r>
      <w:r w:rsidR="003F6043" w:rsidRPr="003F6043">
        <w:rPr>
          <w:color w:val="222222"/>
          <w:shd w:val="clear" w:color="auto" w:fill="FFFFFF"/>
        </w:rPr>
        <w:t>2019)</w:t>
      </w:r>
      <w:r w:rsidRPr="003F6043">
        <w:rPr>
          <w:color w:val="0E101A"/>
        </w:rPr>
        <w:t>. Households who benefit from the UCTs seemed to have elevated levels of welfare through improved psychological well-being, education, and food security. </w:t>
      </w:r>
    </w:p>
    <w:p w:rsidR="00633A8D" w:rsidRPr="003F6043" w:rsidRDefault="00633A8D" w:rsidP="00651701">
      <w:pPr>
        <w:pStyle w:val="NormalWeb"/>
        <w:spacing w:before="0" w:beforeAutospacing="0" w:after="0" w:afterAutospacing="0" w:line="480" w:lineRule="auto"/>
        <w:rPr>
          <w:color w:val="0E101A"/>
        </w:rPr>
      </w:pPr>
      <w:r w:rsidRPr="003F6043">
        <w:rPr>
          <w:color w:val="0E101A"/>
        </w:rPr>
        <w:t xml:space="preserve">However, the </w:t>
      </w:r>
      <w:r w:rsidR="00703399" w:rsidRPr="003F6043">
        <w:rPr>
          <w:color w:val="0E101A"/>
        </w:rPr>
        <w:t>efficiency</w:t>
      </w:r>
      <w:r w:rsidRPr="003F6043">
        <w:rPr>
          <w:color w:val="0E101A"/>
        </w:rPr>
        <w:t xml:space="preserve"> of unconditional cash transfers in improving the welfare of the targeted group of consumers has different impacts on normal goods and inferior goods</w:t>
      </w:r>
      <w:r w:rsidR="003F6043" w:rsidRPr="003F6043">
        <w:rPr>
          <w:color w:val="0E101A"/>
        </w:rPr>
        <w:t xml:space="preserve"> </w:t>
      </w:r>
      <w:r w:rsidR="003F6043" w:rsidRPr="003F6043">
        <w:rPr>
          <w:color w:val="0E101A"/>
        </w:rPr>
        <w:t>(</w:t>
      </w:r>
      <w:r w:rsidR="003F6043" w:rsidRPr="003F6043">
        <w:rPr>
          <w:color w:val="222222"/>
          <w:shd w:val="clear" w:color="auto" w:fill="FFFFFF"/>
        </w:rPr>
        <w:t>Afzal</w:t>
      </w:r>
      <w:r w:rsidR="003F6043" w:rsidRPr="003F6043">
        <w:rPr>
          <w:color w:val="222222"/>
          <w:shd w:val="clear" w:color="auto" w:fill="FFFFFF"/>
        </w:rPr>
        <w:t xml:space="preserve"> et al.,</w:t>
      </w:r>
      <w:r w:rsidR="003F6043" w:rsidRPr="003F6043">
        <w:rPr>
          <w:color w:val="222222"/>
          <w:shd w:val="clear" w:color="auto" w:fill="FFFFFF"/>
        </w:rPr>
        <w:t xml:space="preserve"> 2019)</w:t>
      </w:r>
      <w:r w:rsidRPr="003F6043">
        <w:rPr>
          <w:color w:val="0E101A"/>
        </w:rPr>
        <w:t xml:space="preserve">. The figure below illustrates the effects of </w:t>
      </w:r>
      <w:r w:rsidR="00703399" w:rsidRPr="003F6043">
        <w:rPr>
          <w:color w:val="0E101A"/>
        </w:rPr>
        <w:t>UCTs</w:t>
      </w:r>
      <w:r w:rsidRPr="003F6043">
        <w:rPr>
          <w:color w:val="0E101A"/>
        </w:rPr>
        <w:t xml:space="preserve"> on consumption of normal goods under constant prices. The figure shows that UCTs increased household’s money, which increases the demand for goods X and Y. Increase in money for households shifts the constraint budget to B2 and B3 for small and large money transfers accordingly and hence increase in utility indicated by the higher indifference curves. </w:t>
      </w:r>
    </w:p>
    <w:p w:rsidR="00633A8D" w:rsidRPr="003F6043" w:rsidRDefault="00633A8D" w:rsidP="00651701">
      <w:pPr>
        <w:spacing w:line="480" w:lineRule="auto"/>
        <w:rPr>
          <w:rFonts w:ascii="Times New Roman" w:hAnsi="Times New Roman" w:cs="Times New Roman"/>
          <w:color w:val="484848"/>
          <w:sz w:val="24"/>
          <w:szCs w:val="24"/>
        </w:rPr>
      </w:pPr>
    </w:p>
    <w:p w:rsidR="00633A8D" w:rsidRPr="003F6043" w:rsidRDefault="00633A8D" w:rsidP="00651701">
      <w:pPr>
        <w:spacing w:line="480" w:lineRule="auto"/>
        <w:rPr>
          <w:rFonts w:ascii="Times New Roman" w:hAnsi="Times New Roman" w:cs="Times New Roman"/>
          <w:color w:val="484848"/>
          <w:sz w:val="24"/>
          <w:szCs w:val="24"/>
        </w:rPr>
      </w:pPr>
    </w:p>
    <w:p w:rsidR="00C8235D" w:rsidRPr="003F6043" w:rsidRDefault="00C8235D" w:rsidP="00651701">
      <w:pPr>
        <w:spacing w:line="480" w:lineRule="auto"/>
        <w:rPr>
          <w:rFonts w:ascii="Times New Roman" w:hAnsi="Times New Roman" w:cs="Times New Roman"/>
          <w:color w:val="484848"/>
          <w:sz w:val="24"/>
          <w:szCs w:val="24"/>
        </w:rPr>
      </w:pPr>
    </w:p>
    <w:p w:rsidR="00651701" w:rsidRPr="003F6043" w:rsidRDefault="00651701" w:rsidP="00651701">
      <w:pPr>
        <w:spacing w:line="480" w:lineRule="auto"/>
        <w:rPr>
          <w:rFonts w:ascii="Times New Roman" w:hAnsi="Times New Roman" w:cs="Times New Roman"/>
          <w:color w:val="484848"/>
          <w:sz w:val="24"/>
          <w:szCs w:val="24"/>
        </w:rPr>
      </w:pPr>
    </w:p>
    <w:p w:rsidR="00651701" w:rsidRPr="003F6043" w:rsidRDefault="00651701" w:rsidP="00651701">
      <w:pPr>
        <w:spacing w:line="480" w:lineRule="auto"/>
        <w:rPr>
          <w:rFonts w:ascii="Times New Roman" w:hAnsi="Times New Roman" w:cs="Times New Roman"/>
          <w:color w:val="484848"/>
          <w:sz w:val="24"/>
          <w:szCs w:val="24"/>
        </w:rPr>
      </w:pPr>
      <w:r w:rsidRPr="003F6043">
        <w:rPr>
          <w:rFonts w:ascii="Times New Roman" w:hAnsi="Times New Roman" w:cs="Times New Roman"/>
          <w:noProof/>
          <w:color w:val="484848"/>
          <w:sz w:val="24"/>
          <w:szCs w:val="24"/>
        </w:rPr>
        <w:lastRenderedPageBreak/>
        <w:drawing>
          <wp:inline distT="0" distB="0" distL="0" distR="0">
            <wp:extent cx="3696216" cy="338184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704BC3.tmp"/>
                    <pic:cNvPicPr/>
                  </pic:nvPicPr>
                  <pic:blipFill>
                    <a:blip r:embed="rId6">
                      <a:extLst>
                        <a:ext uri="{28A0092B-C50C-407E-A947-70E740481C1C}">
                          <a14:useLocalDpi xmlns:a14="http://schemas.microsoft.com/office/drawing/2010/main" val="0"/>
                        </a:ext>
                      </a:extLst>
                    </a:blip>
                    <a:stretch>
                      <a:fillRect/>
                    </a:stretch>
                  </pic:blipFill>
                  <pic:spPr>
                    <a:xfrm>
                      <a:off x="0" y="0"/>
                      <a:ext cx="3696216" cy="3381847"/>
                    </a:xfrm>
                    <a:prstGeom prst="rect">
                      <a:avLst/>
                    </a:prstGeom>
                  </pic:spPr>
                </pic:pic>
              </a:graphicData>
            </a:graphic>
          </wp:inline>
        </w:drawing>
      </w:r>
    </w:p>
    <w:p w:rsidR="009B2DFD" w:rsidRPr="003F6043" w:rsidRDefault="00633A8D" w:rsidP="00651701">
      <w:pPr>
        <w:spacing w:line="480" w:lineRule="auto"/>
        <w:ind w:firstLine="720"/>
        <w:rPr>
          <w:rFonts w:ascii="Times New Roman" w:hAnsi="Times New Roman" w:cs="Times New Roman"/>
          <w:color w:val="484848"/>
          <w:sz w:val="24"/>
          <w:szCs w:val="24"/>
        </w:rPr>
      </w:pPr>
      <w:r w:rsidRPr="003F6043">
        <w:rPr>
          <w:rFonts w:ascii="Times New Roman" w:hAnsi="Times New Roman" w:cs="Times New Roman"/>
          <w:color w:val="484848"/>
          <w:sz w:val="24"/>
          <w:szCs w:val="24"/>
        </w:rPr>
        <w:t>Accounting from the figure above, the households tend to pool their incomes into one budget constraint with similar preferences, as outlined by a single indifference curve. Herein, the household will not vary among individuals within the target group of consumers. Assumedly the household members’ preferences vary and that individuals bargain about expenditures. As observed in figure 1, it is true that the household members’ indifference curves do not coincide and touch upon the budget line in different places. Bargaining models attempt to assess a household’s resource allocation. Household decisions thereby depend on interaction between individual preferences and the bargaining power of household members</w:t>
      </w:r>
      <w:r w:rsidR="003F6043" w:rsidRPr="003F6043">
        <w:rPr>
          <w:rFonts w:ascii="Times New Roman" w:hAnsi="Times New Roman" w:cs="Times New Roman"/>
          <w:color w:val="484848"/>
          <w:sz w:val="24"/>
          <w:szCs w:val="24"/>
        </w:rPr>
        <w:t xml:space="preserve"> (</w:t>
      </w:r>
      <w:proofErr w:type="spellStart"/>
      <w:r w:rsidR="003F6043" w:rsidRPr="003F6043">
        <w:rPr>
          <w:rFonts w:ascii="Times New Roman" w:hAnsi="Times New Roman" w:cs="Times New Roman"/>
          <w:color w:val="222222"/>
          <w:sz w:val="24"/>
          <w:szCs w:val="24"/>
          <w:shd w:val="clear" w:color="auto" w:fill="FFFFFF"/>
        </w:rPr>
        <w:t>Lebihan</w:t>
      </w:r>
      <w:proofErr w:type="spellEnd"/>
      <w:r w:rsidR="003F6043" w:rsidRPr="003F6043">
        <w:rPr>
          <w:rFonts w:ascii="Times New Roman" w:hAnsi="Times New Roman" w:cs="Times New Roman"/>
          <w:color w:val="222222"/>
          <w:sz w:val="24"/>
          <w:szCs w:val="24"/>
          <w:shd w:val="clear" w:color="auto" w:fill="FFFFFF"/>
        </w:rPr>
        <w:t xml:space="preserve"> </w:t>
      </w:r>
      <w:r w:rsidR="003F6043" w:rsidRPr="003F6043">
        <w:rPr>
          <w:rFonts w:ascii="Times New Roman" w:hAnsi="Times New Roman" w:cs="Times New Roman"/>
          <w:color w:val="222222"/>
          <w:sz w:val="24"/>
          <w:szCs w:val="24"/>
          <w:shd w:val="clear" w:color="auto" w:fill="FFFFFF"/>
        </w:rPr>
        <w:t xml:space="preserve">&amp; </w:t>
      </w:r>
      <w:proofErr w:type="spellStart"/>
      <w:r w:rsidR="003F6043" w:rsidRPr="003F6043">
        <w:rPr>
          <w:rFonts w:ascii="Times New Roman" w:hAnsi="Times New Roman" w:cs="Times New Roman"/>
          <w:color w:val="222222"/>
          <w:sz w:val="24"/>
          <w:szCs w:val="24"/>
          <w:shd w:val="clear" w:color="auto" w:fill="FFFFFF"/>
        </w:rPr>
        <w:t>Takongmo</w:t>
      </w:r>
      <w:proofErr w:type="spellEnd"/>
      <w:r w:rsidR="003F6043" w:rsidRPr="003F6043">
        <w:rPr>
          <w:rFonts w:ascii="Times New Roman" w:hAnsi="Times New Roman" w:cs="Times New Roman"/>
          <w:color w:val="222222"/>
          <w:sz w:val="24"/>
          <w:szCs w:val="24"/>
          <w:shd w:val="clear" w:color="auto" w:fill="FFFFFF"/>
        </w:rPr>
        <w:t>, 2019)</w:t>
      </w:r>
      <w:r w:rsidRPr="003F6043">
        <w:rPr>
          <w:rFonts w:ascii="Times New Roman" w:hAnsi="Times New Roman" w:cs="Times New Roman"/>
          <w:color w:val="484848"/>
          <w:sz w:val="24"/>
          <w:szCs w:val="24"/>
        </w:rPr>
        <w:t xml:space="preserve">. Cash transfers increase the recipient’s income and have the potential to change bargaining powers within a household. This, in turn, can alter expenditure patterns in the direction of the recipient’s preferred consumption basket. In this regard, it is evident that UCTs helps to raise the consumer’s bargaining power, hence boosting the welfare of the selected target group of consumers as opposed to any in-kind transfer programs. From another point of view, UCTs are </w:t>
      </w:r>
      <w:r w:rsidRPr="003F6043">
        <w:rPr>
          <w:rFonts w:ascii="Times New Roman" w:hAnsi="Times New Roman" w:cs="Times New Roman"/>
          <w:color w:val="484848"/>
          <w:sz w:val="24"/>
          <w:szCs w:val="24"/>
        </w:rPr>
        <w:lastRenderedPageBreak/>
        <w:t>ideal enemies of improved standards of living. The recipient households tend to have contracted savings and credit, hence reducing chances for enormous investments. The practice encourages differential treatment on how decisions are arrived at in the remote areas of the UK. The household serves as a single decision-maker in the market.</w:t>
      </w:r>
    </w:p>
    <w:p w:rsidR="00633A8D" w:rsidRPr="003F6043" w:rsidRDefault="00633A8D" w:rsidP="00651701">
      <w:pPr>
        <w:spacing w:line="480" w:lineRule="auto"/>
        <w:rPr>
          <w:rFonts w:ascii="Times New Roman" w:hAnsi="Times New Roman" w:cs="Times New Roman"/>
          <w:sz w:val="24"/>
          <w:szCs w:val="24"/>
        </w:rPr>
      </w:pPr>
    </w:p>
    <w:p w:rsidR="00633A8D" w:rsidRPr="003F6043" w:rsidRDefault="00633A8D" w:rsidP="00651701">
      <w:pPr>
        <w:spacing w:line="480" w:lineRule="auto"/>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05262F" w:rsidRDefault="0005262F" w:rsidP="00651701">
      <w:pPr>
        <w:spacing w:line="480" w:lineRule="auto"/>
        <w:jc w:val="center"/>
        <w:rPr>
          <w:rFonts w:ascii="Times New Roman" w:hAnsi="Times New Roman" w:cs="Times New Roman"/>
          <w:sz w:val="24"/>
          <w:szCs w:val="24"/>
        </w:rPr>
      </w:pPr>
    </w:p>
    <w:p w:rsidR="006E4F26" w:rsidRPr="003F6043" w:rsidRDefault="006E4F26" w:rsidP="00651701">
      <w:pPr>
        <w:spacing w:line="480" w:lineRule="auto"/>
        <w:jc w:val="center"/>
        <w:rPr>
          <w:rFonts w:ascii="Times New Roman" w:hAnsi="Times New Roman" w:cs="Times New Roman"/>
          <w:sz w:val="24"/>
          <w:szCs w:val="24"/>
        </w:rPr>
      </w:pPr>
      <w:r w:rsidRPr="003F6043">
        <w:rPr>
          <w:rFonts w:ascii="Times New Roman" w:hAnsi="Times New Roman" w:cs="Times New Roman"/>
          <w:sz w:val="24"/>
          <w:szCs w:val="24"/>
        </w:rPr>
        <w:lastRenderedPageBreak/>
        <w:t>References</w:t>
      </w:r>
    </w:p>
    <w:p w:rsidR="003F6043" w:rsidRPr="003F6043" w:rsidRDefault="003F6043" w:rsidP="003F6043">
      <w:pPr>
        <w:spacing w:line="480" w:lineRule="auto"/>
        <w:ind w:left="720" w:hanging="720"/>
        <w:rPr>
          <w:rFonts w:ascii="Times New Roman" w:hAnsi="Times New Roman" w:cs="Times New Roman"/>
          <w:color w:val="222222"/>
          <w:sz w:val="24"/>
          <w:szCs w:val="24"/>
          <w:shd w:val="clear" w:color="auto" w:fill="FFFFFF"/>
        </w:rPr>
      </w:pPr>
      <w:r w:rsidRPr="003F6043">
        <w:rPr>
          <w:rFonts w:ascii="Times New Roman" w:hAnsi="Times New Roman" w:cs="Times New Roman"/>
          <w:color w:val="222222"/>
          <w:sz w:val="24"/>
          <w:szCs w:val="24"/>
          <w:shd w:val="clear" w:color="auto" w:fill="FFFFFF"/>
        </w:rPr>
        <w:t xml:space="preserve">Afzal, A., </w:t>
      </w:r>
      <w:proofErr w:type="spellStart"/>
      <w:r w:rsidRPr="003F6043">
        <w:rPr>
          <w:rFonts w:ascii="Times New Roman" w:hAnsi="Times New Roman" w:cs="Times New Roman"/>
          <w:color w:val="222222"/>
          <w:sz w:val="24"/>
          <w:szCs w:val="24"/>
          <w:shd w:val="clear" w:color="auto" w:fill="FFFFFF"/>
        </w:rPr>
        <w:t>Nawazish</w:t>
      </w:r>
      <w:proofErr w:type="spellEnd"/>
      <w:r w:rsidRPr="003F6043">
        <w:rPr>
          <w:rFonts w:ascii="Times New Roman" w:hAnsi="Times New Roman" w:cs="Times New Roman"/>
          <w:color w:val="222222"/>
          <w:sz w:val="24"/>
          <w:szCs w:val="24"/>
          <w:shd w:val="clear" w:color="auto" w:fill="FFFFFF"/>
        </w:rPr>
        <w:t xml:space="preserve">, M., &amp; Arshad, F. (2019). Conditional </w:t>
      </w:r>
      <w:proofErr w:type="spellStart"/>
      <w:r w:rsidRPr="003F6043">
        <w:rPr>
          <w:rFonts w:ascii="Times New Roman" w:hAnsi="Times New Roman" w:cs="Times New Roman"/>
          <w:color w:val="222222"/>
          <w:sz w:val="24"/>
          <w:szCs w:val="24"/>
          <w:shd w:val="clear" w:color="auto" w:fill="FFFFFF"/>
        </w:rPr>
        <w:t>vs</w:t>
      </w:r>
      <w:proofErr w:type="spellEnd"/>
      <w:r w:rsidRPr="003F6043">
        <w:rPr>
          <w:rFonts w:ascii="Times New Roman" w:hAnsi="Times New Roman" w:cs="Times New Roman"/>
          <w:color w:val="222222"/>
          <w:sz w:val="24"/>
          <w:szCs w:val="24"/>
          <w:shd w:val="clear" w:color="auto" w:fill="FFFFFF"/>
        </w:rPr>
        <w:t xml:space="preserve"> unconditional cash transfers: a study of poverty demographics in Pakistan. </w:t>
      </w:r>
      <w:r w:rsidRPr="003F6043">
        <w:rPr>
          <w:rFonts w:ascii="Times New Roman" w:hAnsi="Times New Roman" w:cs="Times New Roman"/>
          <w:i/>
          <w:iCs/>
          <w:color w:val="222222"/>
          <w:sz w:val="24"/>
          <w:szCs w:val="24"/>
          <w:shd w:val="clear" w:color="auto" w:fill="FFFFFF"/>
        </w:rPr>
        <w:t>Economic research-</w:t>
      </w:r>
      <w:proofErr w:type="spellStart"/>
      <w:r w:rsidRPr="003F6043">
        <w:rPr>
          <w:rFonts w:ascii="Times New Roman" w:hAnsi="Times New Roman" w:cs="Times New Roman"/>
          <w:i/>
          <w:iCs/>
          <w:color w:val="222222"/>
          <w:sz w:val="24"/>
          <w:szCs w:val="24"/>
          <w:shd w:val="clear" w:color="auto" w:fill="FFFFFF"/>
        </w:rPr>
        <w:t>Ekonomska</w:t>
      </w:r>
      <w:proofErr w:type="spellEnd"/>
      <w:r w:rsidRPr="003F6043">
        <w:rPr>
          <w:rFonts w:ascii="Times New Roman" w:hAnsi="Times New Roman" w:cs="Times New Roman"/>
          <w:i/>
          <w:iCs/>
          <w:color w:val="222222"/>
          <w:sz w:val="24"/>
          <w:szCs w:val="24"/>
          <w:shd w:val="clear" w:color="auto" w:fill="FFFFFF"/>
        </w:rPr>
        <w:t xml:space="preserve"> </w:t>
      </w:r>
      <w:proofErr w:type="spellStart"/>
      <w:r w:rsidRPr="003F6043">
        <w:rPr>
          <w:rFonts w:ascii="Times New Roman" w:hAnsi="Times New Roman" w:cs="Times New Roman"/>
          <w:i/>
          <w:iCs/>
          <w:color w:val="222222"/>
          <w:sz w:val="24"/>
          <w:szCs w:val="24"/>
          <w:shd w:val="clear" w:color="auto" w:fill="FFFFFF"/>
        </w:rPr>
        <w:t>istraživanja</w:t>
      </w:r>
      <w:proofErr w:type="spellEnd"/>
      <w:r w:rsidRPr="003F6043">
        <w:rPr>
          <w:rFonts w:ascii="Times New Roman" w:hAnsi="Times New Roman" w:cs="Times New Roman"/>
          <w:color w:val="222222"/>
          <w:sz w:val="24"/>
          <w:szCs w:val="24"/>
          <w:shd w:val="clear" w:color="auto" w:fill="FFFFFF"/>
        </w:rPr>
        <w:t>, </w:t>
      </w:r>
      <w:r w:rsidRPr="003F6043">
        <w:rPr>
          <w:rFonts w:ascii="Times New Roman" w:hAnsi="Times New Roman" w:cs="Times New Roman"/>
          <w:i/>
          <w:iCs/>
          <w:color w:val="222222"/>
          <w:sz w:val="24"/>
          <w:szCs w:val="24"/>
          <w:shd w:val="clear" w:color="auto" w:fill="FFFFFF"/>
        </w:rPr>
        <w:t>32</w:t>
      </w:r>
      <w:r w:rsidRPr="003F6043">
        <w:rPr>
          <w:rFonts w:ascii="Times New Roman" w:hAnsi="Times New Roman" w:cs="Times New Roman"/>
          <w:color w:val="222222"/>
          <w:sz w:val="24"/>
          <w:szCs w:val="24"/>
          <w:shd w:val="clear" w:color="auto" w:fill="FFFFFF"/>
        </w:rPr>
        <w:t>(1), 3360-3377.</w:t>
      </w:r>
    </w:p>
    <w:p w:rsidR="0005262F" w:rsidRDefault="003F6043" w:rsidP="0005262F">
      <w:pPr>
        <w:spacing w:line="480" w:lineRule="auto"/>
        <w:ind w:left="720" w:hanging="720"/>
        <w:rPr>
          <w:rFonts w:ascii="Times New Roman" w:hAnsi="Times New Roman" w:cs="Times New Roman"/>
          <w:color w:val="222222"/>
          <w:sz w:val="24"/>
          <w:szCs w:val="24"/>
          <w:shd w:val="clear" w:color="auto" w:fill="FFFFFF"/>
        </w:rPr>
      </w:pPr>
      <w:r w:rsidRPr="003F6043">
        <w:rPr>
          <w:rFonts w:ascii="Times New Roman" w:hAnsi="Times New Roman" w:cs="Times New Roman"/>
          <w:color w:val="222222"/>
          <w:sz w:val="24"/>
          <w:szCs w:val="24"/>
          <w:shd w:val="clear" w:color="auto" w:fill="FFFFFF"/>
        </w:rPr>
        <w:t xml:space="preserve">Churchill, S. A., Iqbal, N., Nawaz, S., &amp; Yew, S. L. (2021). Unconditional cash transfers, child </w:t>
      </w:r>
      <w:proofErr w:type="spellStart"/>
      <w:r w:rsidRPr="003F6043">
        <w:rPr>
          <w:rFonts w:ascii="Times New Roman" w:hAnsi="Times New Roman" w:cs="Times New Roman"/>
          <w:color w:val="222222"/>
          <w:sz w:val="24"/>
          <w:szCs w:val="24"/>
          <w:shd w:val="clear" w:color="auto" w:fill="FFFFFF"/>
        </w:rPr>
        <w:t>labour</w:t>
      </w:r>
      <w:proofErr w:type="spellEnd"/>
      <w:r w:rsidRPr="003F6043">
        <w:rPr>
          <w:rFonts w:ascii="Times New Roman" w:hAnsi="Times New Roman" w:cs="Times New Roman"/>
          <w:color w:val="222222"/>
          <w:sz w:val="24"/>
          <w:szCs w:val="24"/>
          <w:shd w:val="clear" w:color="auto" w:fill="FFFFFF"/>
        </w:rPr>
        <w:t xml:space="preserve"> and education: theory and evidence. </w:t>
      </w:r>
      <w:r w:rsidRPr="003F6043">
        <w:rPr>
          <w:rFonts w:ascii="Times New Roman" w:hAnsi="Times New Roman" w:cs="Times New Roman"/>
          <w:i/>
          <w:iCs/>
          <w:color w:val="222222"/>
          <w:sz w:val="24"/>
          <w:szCs w:val="24"/>
          <w:shd w:val="clear" w:color="auto" w:fill="FFFFFF"/>
        </w:rPr>
        <w:t>Journal of Economic Behavior &amp; Organization</w:t>
      </w:r>
      <w:r w:rsidRPr="003F6043">
        <w:rPr>
          <w:rFonts w:ascii="Times New Roman" w:hAnsi="Times New Roman" w:cs="Times New Roman"/>
          <w:color w:val="222222"/>
          <w:sz w:val="24"/>
          <w:szCs w:val="24"/>
          <w:shd w:val="clear" w:color="auto" w:fill="FFFFFF"/>
        </w:rPr>
        <w:t>, </w:t>
      </w:r>
      <w:r w:rsidRPr="003F6043">
        <w:rPr>
          <w:rFonts w:ascii="Times New Roman" w:hAnsi="Times New Roman" w:cs="Times New Roman"/>
          <w:i/>
          <w:iCs/>
          <w:color w:val="222222"/>
          <w:sz w:val="24"/>
          <w:szCs w:val="24"/>
          <w:shd w:val="clear" w:color="auto" w:fill="FFFFFF"/>
        </w:rPr>
        <w:t>186</w:t>
      </w:r>
      <w:r w:rsidRPr="003F6043">
        <w:rPr>
          <w:rFonts w:ascii="Times New Roman" w:hAnsi="Times New Roman" w:cs="Times New Roman"/>
          <w:color w:val="222222"/>
          <w:sz w:val="24"/>
          <w:szCs w:val="24"/>
          <w:shd w:val="clear" w:color="auto" w:fill="FFFFFF"/>
        </w:rPr>
        <w:t>, 437-457.</w:t>
      </w:r>
    </w:p>
    <w:p w:rsidR="003F6043" w:rsidRPr="003F6043" w:rsidRDefault="003F6043" w:rsidP="0005262F">
      <w:pPr>
        <w:spacing w:line="480" w:lineRule="auto"/>
        <w:ind w:left="720" w:hanging="720"/>
        <w:rPr>
          <w:rFonts w:ascii="Times New Roman" w:hAnsi="Times New Roman" w:cs="Times New Roman"/>
          <w:sz w:val="24"/>
          <w:szCs w:val="24"/>
        </w:rPr>
      </w:pPr>
      <w:proofErr w:type="spellStart"/>
      <w:r w:rsidRPr="003F6043">
        <w:rPr>
          <w:rFonts w:ascii="Times New Roman" w:hAnsi="Times New Roman" w:cs="Times New Roman"/>
          <w:color w:val="222222"/>
          <w:sz w:val="24"/>
          <w:szCs w:val="24"/>
          <w:shd w:val="clear" w:color="auto" w:fill="FFFFFF"/>
        </w:rPr>
        <w:t>Lebihan</w:t>
      </w:r>
      <w:proofErr w:type="spellEnd"/>
      <w:r w:rsidRPr="003F6043">
        <w:rPr>
          <w:rFonts w:ascii="Times New Roman" w:hAnsi="Times New Roman" w:cs="Times New Roman"/>
          <w:color w:val="222222"/>
          <w:sz w:val="24"/>
          <w:szCs w:val="24"/>
          <w:shd w:val="clear" w:color="auto" w:fill="FFFFFF"/>
        </w:rPr>
        <w:t xml:space="preserve">, L., &amp; </w:t>
      </w:r>
      <w:proofErr w:type="spellStart"/>
      <w:r w:rsidRPr="003F6043">
        <w:rPr>
          <w:rFonts w:ascii="Times New Roman" w:hAnsi="Times New Roman" w:cs="Times New Roman"/>
          <w:color w:val="222222"/>
          <w:sz w:val="24"/>
          <w:szCs w:val="24"/>
          <w:shd w:val="clear" w:color="auto" w:fill="FFFFFF"/>
        </w:rPr>
        <w:t>Takongmo</w:t>
      </w:r>
      <w:proofErr w:type="spellEnd"/>
      <w:r w:rsidRPr="003F6043">
        <w:rPr>
          <w:rFonts w:ascii="Times New Roman" w:hAnsi="Times New Roman" w:cs="Times New Roman"/>
          <w:color w:val="222222"/>
          <w:sz w:val="24"/>
          <w:szCs w:val="24"/>
          <w:shd w:val="clear" w:color="auto" w:fill="FFFFFF"/>
        </w:rPr>
        <w:t>, C. O. M. (2019). Unconditional cash transfers and parental obesity. </w:t>
      </w:r>
      <w:r w:rsidRPr="003F6043">
        <w:rPr>
          <w:rFonts w:ascii="Times New Roman" w:hAnsi="Times New Roman" w:cs="Times New Roman"/>
          <w:i/>
          <w:iCs/>
          <w:color w:val="222222"/>
          <w:sz w:val="24"/>
          <w:szCs w:val="24"/>
          <w:shd w:val="clear" w:color="auto" w:fill="FFFFFF"/>
        </w:rPr>
        <w:t>Social Science &amp; Medicine</w:t>
      </w:r>
      <w:r w:rsidRPr="003F6043">
        <w:rPr>
          <w:rFonts w:ascii="Times New Roman" w:hAnsi="Times New Roman" w:cs="Times New Roman"/>
          <w:color w:val="222222"/>
          <w:sz w:val="24"/>
          <w:szCs w:val="24"/>
          <w:shd w:val="clear" w:color="auto" w:fill="FFFFFF"/>
        </w:rPr>
        <w:t>, </w:t>
      </w:r>
      <w:r w:rsidRPr="003F6043">
        <w:rPr>
          <w:rFonts w:ascii="Times New Roman" w:hAnsi="Times New Roman" w:cs="Times New Roman"/>
          <w:i/>
          <w:iCs/>
          <w:color w:val="222222"/>
          <w:sz w:val="24"/>
          <w:szCs w:val="24"/>
          <w:shd w:val="clear" w:color="auto" w:fill="FFFFFF"/>
        </w:rPr>
        <w:t>224</w:t>
      </w:r>
      <w:r w:rsidRPr="003F6043">
        <w:rPr>
          <w:rFonts w:ascii="Times New Roman" w:hAnsi="Times New Roman" w:cs="Times New Roman"/>
          <w:color w:val="222222"/>
          <w:sz w:val="24"/>
          <w:szCs w:val="24"/>
          <w:shd w:val="clear" w:color="auto" w:fill="FFFFFF"/>
        </w:rPr>
        <w:t>, 116-126.</w:t>
      </w:r>
    </w:p>
    <w:p w:rsidR="006E4F26" w:rsidRPr="003F6043" w:rsidRDefault="006E4F26" w:rsidP="00651701">
      <w:pPr>
        <w:spacing w:line="480" w:lineRule="auto"/>
        <w:rPr>
          <w:rFonts w:ascii="Times New Roman" w:hAnsi="Times New Roman" w:cs="Times New Roman"/>
          <w:b/>
          <w:sz w:val="24"/>
          <w:szCs w:val="24"/>
        </w:rPr>
      </w:pPr>
    </w:p>
    <w:p w:rsidR="003F6043" w:rsidRPr="003F6043" w:rsidRDefault="003F6043">
      <w:pPr>
        <w:spacing w:line="480" w:lineRule="auto"/>
        <w:rPr>
          <w:rFonts w:ascii="Times New Roman" w:hAnsi="Times New Roman" w:cs="Times New Roman"/>
          <w:b/>
          <w:sz w:val="24"/>
          <w:szCs w:val="24"/>
        </w:rPr>
      </w:pPr>
    </w:p>
    <w:sectPr w:rsidR="003F6043" w:rsidRPr="003F6043">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693" w:rsidRDefault="00554693" w:rsidP="00651701">
      <w:pPr>
        <w:spacing w:after="0" w:line="240" w:lineRule="auto"/>
      </w:pPr>
      <w:r>
        <w:separator/>
      </w:r>
    </w:p>
  </w:endnote>
  <w:endnote w:type="continuationSeparator" w:id="0">
    <w:p w:rsidR="00554693" w:rsidRDefault="00554693" w:rsidP="00651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693" w:rsidRDefault="00554693" w:rsidP="00651701">
      <w:pPr>
        <w:spacing w:after="0" w:line="240" w:lineRule="auto"/>
      </w:pPr>
      <w:r>
        <w:separator/>
      </w:r>
    </w:p>
  </w:footnote>
  <w:footnote w:type="continuationSeparator" w:id="0">
    <w:p w:rsidR="00554693" w:rsidRDefault="00554693" w:rsidP="00651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461192387"/>
      <w:docPartObj>
        <w:docPartGallery w:val="Page Numbers (Top of Page)"/>
        <w:docPartUnique/>
      </w:docPartObj>
    </w:sdtPr>
    <w:sdtEndPr>
      <w:rPr>
        <w:noProof/>
      </w:rPr>
    </w:sdtEndPr>
    <w:sdtContent>
      <w:p w:rsidR="00651701" w:rsidRPr="00651701" w:rsidRDefault="00651701">
        <w:pPr>
          <w:pStyle w:val="Header"/>
          <w:jc w:val="right"/>
          <w:rPr>
            <w:rFonts w:ascii="Times New Roman" w:hAnsi="Times New Roman" w:cs="Times New Roman"/>
            <w:sz w:val="24"/>
            <w:szCs w:val="24"/>
          </w:rPr>
        </w:pPr>
        <w:r w:rsidRPr="00651701">
          <w:rPr>
            <w:rFonts w:ascii="Times New Roman" w:hAnsi="Times New Roman" w:cs="Times New Roman"/>
            <w:sz w:val="24"/>
            <w:szCs w:val="24"/>
          </w:rPr>
          <w:fldChar w:fldCharType="begin"/>
        </w:r>
        <w:r w:rsidRPr="00651701">
          <w:rPr>
            <w:rFonts w:ascii="Times New Roman" w:hAnsi="Times New Roman" w:cs="Times New Roman"/>
            <w:sz w:val="24"/>
            <w:szCs w:val="24"/>
          </w:rPr>
          <w:instrText xml:space="preserve"> PAGE   \* MERGEFORMAT </w:instrText>
        </w:r>
        <w:r w:rsidRPr="00651701">
          <w:rPr>
            <w:rFonts w:ascii="Times New Roman" w:hAnsi="Times New Roman" w:cs="Times New Roman"/>
            <w:sz w:val="24"/>
            <w:szCs w:val="24"/>
          </w:rPr>
          <w:fldChar w:fldCharType="separate"/>
        </w:r>
        <w:r w:rsidR="0005262F">
          <w:rPr>
            <w:rFonts w:ascii="Times New Roman" w:hAnsi="Times New Roman" w:cs="Times New Roman"/>
            <w:noProof/>
            <w:sz w:val="24"/>
            <w:szCs w:val="24"/>
          </w:rPr>
          <w:t>6</w:t>
        </w:r>
        <w:r w:rsidRPr="00651701">
          <w:rPr>
            <w:rFonts w:ascii="Times New Roman" w:hAnsi="Times New Roman" w:cs="Times New Roman"/>
            <w:noProof/>
            <w:sz w:val="24"/>
            <w:szCs w:val="24"/>
          </w:rPr>
          <w:fldChar w:fldCharType="end"/>
        </w:r>
      </w:p>
    </w:sdtContent>
  </w:sdt>
  <w:p w:rsidR="00651701" w:rsidRPr="00651701" w:rsidRDefault="00651701">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B2E"/>
    <w:rsid w:val="0005262F"/>
    <w:rsid w:val="000E3A33"/>
    <w:rsid w:val="000E5C19"/>
    <w:rsid w:val="001C14D3"/>
    <w:rsid w:val="002410A0"/>
    <w:rsid w:val="0024498B"/>
    <w:rsid w:val="0026101D"/>
    <w:rsid w:val="002E0877"/>
    <w:rsid w:val="003C6BDE"/>
    <w:rsid w:val="003F6043"/>
    <w:rsid w:val="00550BF4"/>
    <w:rsid w:val="00554693"/>
    <w:rsid w:val="00633A8D"/>
    <w:rsid w:val="00651701"/>
    <w:rsid w:val="006963DC"/>
    <w:rsid w:val="006E4F26"/>
    <w:rsid w:val="00703399"/>
    <w:rsid w:val="00710CA9"/>
    <w:rsid w:val="008D630D"/>
    <w:rsid w:val="008F5BD9"/>
    <w:rsid w:val="00921B2E"/>
    <w:rsid w:val="009B2DFD"/>
    <w:rsid w:val="00A9788F"/>
    <w:rsid w:val="00B2270C"/>
    <w:rsid w:val="00B73956"/>
    <w:rsid w:val="00C46A48"/>
    <w:rsid w:val="00C8235D"/>
    <w:rsid w:val="00DD0496"/>
    <w:rsid w:val="00DE728F"/>
    <w:rsid w:val="00F2617F"/>
    <w:rsid w:val="00F306E3"/>
    <w:rsid w:val="00F70FE8"/>
    <w:rsid w:val="00FD039E"/>
    <w:rsid w:val="00FD1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19975-793B-47DC-A4BC-E879ADE4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3A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3A8D"/>
    <w:rPr>
      <w:b/>
      <w:bCs/>
    </w:rPr>
  </w:style>
  <w:style w:type="paragraph" w:styleId="Header">
    <w:name w:val="header"/>
    <w:basedOn w:val="Normal"/>
    <w:link w:val="HeaderChar"/>
    <w:uiPriority w:val="99"/>
    <w:unhideWhenUsed/>
    <w:rsid w:val="00651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701"/>
  </w:style>
  <w:style w:type="paragraph" w:styleId="Footer">
    <w:name w:val="footer"/>
    <w:basedOn w:val="Normal"/>
    <w:link w:val="FooterChar"/>
    <w:uiPriority w:val="99"/>
    <w:unhideWhenUsed/>
    <w:rsid w:val="00651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84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cp:revision>
  <dcterms:created xsi:type="dcterms:W3CDTF">2021-08-18T09:02:00Z</dcterms:created>
  <dcterms:modified xsi:type="dcterms:W3CDTF">2021-08-18T09:24:00Z</dcterms:modified>
</cp:coreProperties>
</file>